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rPr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189865</wp:posOffset>
            </wp:positionV>
            <wp:extent cx="1866900" cy="15621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产品编号（CAT No.）: N</w:t>
      </w:r>
      <w:r>
        <w:rPr>
          <w:rFonts w:hint="eastAsia"/>
          <w:lang w:eastAsia="zh-CN"/>
        </w:rPr>
        <w:t>0294</w:t>
      </w:r>
      <w:r>
        <w:t>中文名称：</w:t>
      </w:r>
      <w:r>
        <w:rPr>
          <w:rFonts w:hint="eastAsia"/>
        </w:rPr>
        <w:t>延胡索乙素</w:t>
      </w:r>
    </w:p>
    <w:p>
      <w:pPr>
        <w:pStyle w:val="3"/>
        <w:spacing w:before="10" w:line="288" w:lineRule="auto"/>
        <w:ind w:left="116" w:right="6205"/>
      </w:pPr>
      <w:r>
        <w:t>English Name：Rotundine</w:t>
      </w:r>
    </w:p>
    <w:p>
      <w:pPr>
        <w:pStyle w:val="3"/>
        <w:spacing w:before="12" w:line="288" w:lineRule="auto"/>
        <w:ind w:left="116" w:right="7252"/>
      </w:pPr>
      <w:r>
        <w:t xml:space="preserve">CAS No.: 2934-97-6 </w:t>
      </w:r>
    </w:p>
    <w:p>
      <w:pPr>
        <w:pStyle w:val="3"/>
        <w:spacing w:before="12" w:line="288" w:lineRule="auto"/>
        <w:ind w:left="116" w:right="7252"/>
      </w:pPr>
      <w:r>
        <w:t>分子式 (M. F.):C21H25NO4分子量 (M. W.): 355.43</w:t>
      </w:r>
    </w:p>
    <w:p>
      <w:pPr>
        <w:pStyle w:val="3"/>
        <w:spacing w:before="12"/>
        <w:ind w:left="116" w:right="468"/>
        <w:rPr>
          <w:lang w:eastAsia="zh-CN"/>
        </w:rPr>
      </w:pPr>
      <w:r>
        <w:t xml:space="preserve">批号 (Batch No.): </w:t>
      </w:r>
      <w:r>
        <w:rPr>
          <w:rFonts w:hint="eastAsia"/>
          <w:lang w:eastAsia="zh-CN"/>
        </w:rPr>
        <w:t>2211029401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7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1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1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1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QC: Ben Yang                                                                          QA: Joy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0" t="0" r="0" b="0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  <a:effectLst/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6zhcc2AAAAAoBAAAPAAAAAAAAAAEAIAAA&#10;ACIAAABkcnMvZG93bnJldi54bWxQSwECFAAUAAAACACHTuJAshiFcX4CAACWCQAADgAAAAAAAAAB&#10;ACAAAAAnAQAAZHJzL2Uyb0RvYy54bWxQSwUGAAAAAAYABgBZAQAAFw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right="468"/>
        <w:rPr>
          <w:rFonts w:hint="eastAsia" w:ascii="Times New Roman" w:eastAsiaTheme="minorEastAsia"/>
          <w:color w:val="252525"/>
          <w:sz w:val="17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rFonts w:hint="eastAsia"/>
          <w:b/>
          <w:bCs/>
          <w:color w:val="252525"/>
          <w:sz w:val="28"/>
          <w:szCs w:val="28"/>
          <w:lang w:eastAsia="zh-CN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rFonts w:hint="eastAsia"/>
          <w:b/>
          <w:bCs/>
          <w:color w:val="252525"/>
          <w:sz w:val="28"/>
          <w:szCs w:val="28"/>
          <w:lang w:eastAsia="zh-CN"/>
        </w:rPr>
      </w:pPr>
      <w:r>
        <w:rPr>
          <w:b/>
          <w:bCs/>
          <w:color w:val="252525"/>
          <w:sz w:val="28"/>
          <w:szCs w:val="28"/>
          <w:lang w:eastAsia="zh-CN"/>
        </w:rPr>
        <w:drawing>
          <wp:inline distT="0" distB="0" distL="0" distR="0">
            <wp:extent cx="6127750" cy="4160520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41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色谱柱（Column）：Kromasil 100-5-C18 4.6*250mm</w:t>
      </w:r>
    </w:p>
    <w:p>
      <w:pPr>
        <w:tabs>
          <w:tab w:val="left" w:pos="2149"/>
        </w:tabs>
        <w:spacing w:before="92"/>
        <w:ind w:left="121" w:right="468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phase):乙腈：三乙胺磷酸盐=26:74</w:t>
      </w:r>
    </w:p>
    <w:p>
      <w:pPr>
        <w:tabs>
          <w:tab w:val="left" w:pos="2149"/>
        </w:tabs>
        <w:spacing w:before="92"/>
        <w:ind w:left="121" w:right="468"/>
        <w:rPr>
          <w:rFonts w:hint="eastAsia"/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Acetonitrile ：Triethylamine phosphate solution=26:74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mode）：280nm</w:t>
      </w:r>
      <w:bookmarkStart w:id="2" w:name="_GoBack"/>
      <w:bookmarkEnd w:id="2"/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temperature）：30℃</w:t>
      </w: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widowControl/>
        <w:rPr>
          <w:rFonts w:ascii="Times New Roman" w:eastAsia="Times New Roman"/>
          <w:color w:val="252525"/>
          <w:sz w:val="17"/>
        </w:rPr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0" t="0" r="0" b="0"/>
              <wp:wrapNone/>
              <wp:docPr id="3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PVNi1AAAAAcBAAAPAAAAAAAAAAEAIAAAACIAAABkcnMvZG93bnJl&#10;di54bWxQSwECFAAUAAAACACHTuJAijQKqAECAAARBAAADgAAAAAAAAABACAAAAAj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</w:rPr>
      <w:t xml:space="preserve">    </w:t>
    </w:r>
    <w:r>
      <w:rPr>
        <w:b/>
        <w:color w:val="000000" w:themeColor="text1"/>
        <w:sz w:val="27"/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</w:rPr>
    </w:pPr>
    <w:r>
      <w:rPr>
        <w:rFonts w:hint="eastAsia"/>
        <w:b/>
        <w:color w:val="000000" w:themeColor="text1"/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0" t="0" r="0" b="0"/>
              <wp:wrapTopAndBottom/>
              <wp:docPr id="5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8itwp1gAAAAoBAAAPAAAAAAAAAAEAIAAAACIAAABk&#10;cnMvZG93bnJldi54bWxQSwECFAAUAAAACACHTuJAWZ5JC88BAACxAwAADgAAAAAAAAABACAAAAAl&#10;AQAAZHJzL2Uyb0RvYy54bWxQSwUGAAAAAAYABgBZAQAAZgUAAAAA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4006F5"/>
    <w:rsid w:val="004A1FA3"/>
    <w:rsid w:val="005D4B1D"/>
    <w:rsid w:val="006B6444"/>
    <w:rsid w:val="00905EE9"/>
    <w:rsid w:val="009F6F5D"/>
    <w:rsid w:val="00D062A8"/>
    <w:rsid w:val="00DF1AD2"/>
    <w:rsid w:val="00E66483"/>
    <w:rsid w:val="00FB0E98"/>
    <w:rsid w:val="00FC47EC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44026E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C770EA1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  <w:style w:type="character" w:customStyle="1" w:styleId="12">
    <w:name w:val="批注框文本 Char"/>
    <w:basedOn w:val="8"/>
    <w:link w:val="4"/>
    <w:uiPriority w:val="0"/>
    <w:rPr>
      <w:rFonts w:ascii="Microsoft YaHei UI" w:hAnsi="Microsoft YaHei UI" w:eastAsia="Microsoft YaHei UI" w:cs="Microsoft YaHei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1109</Characters>
  <Lines>9</Lines>
  <Paragraphs>2</Paragraphs>
  <TotalTime>16</TotalTime>
  <ScaleCrop>false</ScaleCrop>
  <LinksUpToDate>false</LinksUpToDate>
  <CharactersWithSpaces>1281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2022-11-25T03:32:22Z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30668DC1EF49463BB15B624A46647CCF</vt:lpwstr>
  </property>
</Properties>
</file>