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rFonts w:hint="eastAsia" w:eastAsia="Microsoft YaHei UI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3416935</wp:posOffset>
            </wp:positionH>
            <wp:positionV relativeFrom="page">
              <wp:posOffset>2969260</wp:posOffset>
            </wp:positionV>
            <wp:extent cx="2152015" cy="1399540"/>
            <wp:effectExtent l="0" t="0" r="635" b="1016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产品编号（CAT No.）:</w:t>
      </w:r>
      <w:r>
        <w:rPr>
          <w:rFonts w:hint="eastAsia"/>
        </w:rPr>
        <w:t>N0272</w:t>
      </w:r>
      <w:r>
        <w:t>中文名称：</w:t>
      </w:r>
      <w:r>
        <w:rPr>
          <w:rFonts w:hint="eastAsia"/>
        </w:rPr>
        <w:t>柯里拉京</w:t>
      </w:r>
    </w:p>
    <w:p>
      <w:pPr>
        <w:pStyle w:val="3"/>
        <w:spacing w:before="10" w:line="288" w:lineRule="auto"/>
        <w:ind w:left="116" w:right="6205"/>
        <w:rPr>
          <w:rFonts w:hint="eastAsia" w:eastAsia="Microsoft YaHei UI"/>
          <w:lang w:eastAsia="zh-CN"/>
        </w:rPr>
      </w:pPr>
      <w:r>
        <w:t>English Name：</w:t>
      </w:r>
      <w:r>
        <w:rPr>
          <w:rFonts w:hint="eastAsia"/>
        </w:rPr>
        <w:t>Corilagin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23094-69-1</w:t>
      </w:r>
    </w:p>
    <w:p>
      <w:pPr>
        <w:pStyle w:val="3"/>
        <w:spacing w:before="12" w:line="288" w:lineRule="auto"/>
        <w:ind w:left="116" w:right="7252"/>
      </w:pPr>
      <w:r>
        <w:t>分子式 (M. F.):</w:t>
      </w:r>
      <w:r>
        <w:rPr>
          <w:rFonts w:hint="eastAsia"/>
        </w:rPr>
        <w:t>C27H22O18</w:t>
      </w:r>
      <w:r>
        <w:t xml:space="preserve">分子量 (M. W.): </w:t>
      </w:r>
      <w:r>
        <w:rPr>
          <w:rFonts w:hint="eastAsia"/>
        </w:rPr>
        <w:t>634.45</w:t>
      </w:r>
    </w:p>
    <w:p>
      <w:pPr>
        <w:pStyle w:val="3"/>
        <w:spacing w:before="12"/>
        <w:ind w:left="116" w:right="468"/>
        <w:rPr>
          <w:rFonts w:hint="default" w:eastAsia="Microsoft YaHei UI"/>
          <w:lang w:val="en-US" w:eastAsia="zh-CN"/>
        </w:rPr>
      </w:pPr>
      <w:r>
        <w:t>批号 (Batch No.):</w:t>
      </w:r>
      <w:r>
        <w:rPr>
          <w:rFonts w:hint="eastAsia"/>
          <w:lang w:val="en-US" w:eastAsia="zh-CN"/>
        </w:rPr>
        <w:t>2303027201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固体(Solid)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right="468" w:firstLine="3082" w:firstLineChars="1100"/>
        <w:jc w:val="both"/>
        <w:rPr>
          <w:rFonts w:hint="eastAsia"/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right="468" w:firstLine="3082" w:firstLineChars="1100"/>
        <w:jc w:val="both"/>
        <w:rPr>
          <w:rFonts w:hint="eastAsia"/>
          <w:b/>
          <w:bCs/>
          <w:color w:val="252525"/>
          <w:sz w:val="28"/>
          <w:szCs w:val="28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2670" cy="5080000"/>
            <wp:effectExtent l="0" t="0" r="11430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</w:t>
      </w:r>
      <w:r>
        <w:rPr>
          <w:rFonts w:hint="default"/>
          <w:color w:val="252525"/>
          <w:sz w:val="21"/>
          <w:szCs w:val="21"/>
          <w:lang w:val="en-US" w:eastAsia="zh-CN"/>
        </w:rPr>
        <w:t>Agilent ZORBAX Eclipse Plus C18</w:t>
      </w:r>
      <w:r>
        <w:rPr>
          <w:rFonts w:hint="eastAsia"/>
          <w:color w:val="252525"/>
          <w:sz w:val="21"/>
          <w:szCs w:val="21"/>
          <w:lang w:val="en-US" w:eastAsia="zh-CN"/>
        </w:rPr>
        <w:t>，</w:t>
      </w:r>
      <w:r>
        <w:rPr>
          <w:rFonts w:hint="default"/>
          <w:color w:val="252525"/>
          <w:sz w:val="21"/>
          <w:szCs w:val="21"/>
          <w:lang w:val="en-US" w:eastAsia="zh-CN"/>
        </w:rPr>
        <w:t>4.6*100 mm</w:t>
      </w:r>
      <w:r>
        <w:rPr>
          <w:rFonts w:hint="eastAsia"/>
          <w:color w:val="252525"/>
          <w:sz w:val="21"/>
          <w:szCs w:val="21"/>
          <w:lang w:val="en-US" w:eastAsia="zh-CN"/>
        </w:rPr>
        <w:t>，</w:t>
      </w:r>
      <w:r>
        <w:rPr>
          <w:rFonts w:hint="default"/>
          <w:color w:val="252525"/>
          <w:sz w:val="21"/>
          <w:szCs w:val="21"/>
          <w:lang w:val="en-US" w:eastAsia="zh-CN"/>
        </w:rPr>
        <w:t>3.5μm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</w:t>
      </w:r>
      <w:r>
        <w:rPr>
          <w:rFonts w:hint="eastAsia"/>
          <w:color w:val="252525"/>
          <w:sz w:val="21"/>
          <w:szCs w:val="21"/>
          <w:lang w:val="en-US" w:eastAsia="zh-CN"/>
        </w:rPr>
        <w:t>甲醇</w:t>
      </w:r>
      <w:r>
        <w:rPr>
          <w:rFonts w:hint="default"/>
          <w:color w:val="252525"/>
          <w:sz w:val="21"/>
          <w:szCs w:val="21"/>
          <w:lang w:val="en-US" w:eastAsia="zh-CN"/>
        </w:rPr>
        <w:t>-0.2%</w:t>
      </w:r>
      <w:r>
        <w:rPr>
          <w:rFonts w:hint="eastAsia"/>
          <w:color w:val="252525"/>
          <w:sz w:val="21"/>
          <w:szCs w:val="21"/>
          <w:lang w:val="en-US" w:eastAsia="zh-CN"/>
        </w:rPr>
        <w:t xml:space="preserve">磷酸水溶液 </w:t>
      </w:r>
      <w:r>
        <w:rPr>
          <w:rFonts w:hint="default"/>
          <w:color w:val="252525"/>
          <w:sz w:val="21"/>
          <w:szCs w:val="21"/>
          <w:lang w:val="en-US" w:eastAsia="zh-CN"/>
        </w:rPr>
        <w:t>23</w:t>
      </w:r>
      <w:r>
        <w:rPr>
          <w:rFonts w:hint="eastAsia"/>
          <w:color w:val="252525"/>
          <w:sz w:val="21"/>
          <w:szCs w:val="21"/>
          <w:lang w:val="en-US" w:eastAsia="zh-CN"/>
        </w:rPr>
        <w:t>：</w:t>
      </w:r>
      <w:r>
        <w:rPr>
          <w:rFonts w:hint="default"/>
          <w:color w:val="252525"/>
          <w:sz w:val="21"/>
          <w:szCs w:val="21"/>
          <w:lang w:val="en-US" w:eastAsia="zh-CN"/>
        </w:rPr>
        <w:t>77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</w:t>
      </w:r>
      <w:r>
        <w:rPr>
          <w:rFonts w:hint="default"/>
          <w:color w:val="252525"/>
          <w:sz w:val="21"/>
          <w:szCs w:val="21"/>
          <w:lang w:val="en-US" w:eastAsia="zh-CN"/>
        </w:rPr>
        <w:t>265 nm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</w:t>
      </w:r>
      <w:r>
        <w:rPr>
          <w:rFonts w:hint="eastAsia"/>
          <w:color w:val="252525"/>
          <w:sz w:val="21"/>
          <w:szCs w:val="21"/>
          <w:lang w:val="en-US" w:eastAsia="zh-CN"/>
        </w:rPr>
        <w:t>5</w:t>
      </w:r>
      <w:r>
        <w:rPr>
          <w:rFonts w:hint="eastAsia"/>
          <w:color w:val="252525"/>
          <w:sz w:val="21"/>
          <w:szCs w:val="21"/>
          <w:lang w:eastAsia="zh-CN"/>
        </w:rPr>
        <w:t>℃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252525"/>
          <w:sz w:val="21"/>
          <w:szCs w:val="21"/>
          <w:lang w:eastAsia="zh-CN"/>
        </w:rPr>
      </w:pPr>
      <w:bookmarkStart w:id="2" w:name="_GoBack"/>
      <w:bookmarkEnd w:id="2"/>
    </w:p>
    <w:p>
      <w:pPr>
        <w:tabs>
          <w:tab w:val="left" w:pos="2149"/>
        </w:tabs>
        <w:spacing w:before="92"/>
        <w:ind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1566545</wp:posOffset>
            </wp:positionV>
            <wp:extent cx="6123305" cy="4307840"/>
            <wp:effectExtent l="0" t="0" r="10795" b="16510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0"/>
        </w:numPr>
        <w:tabs>
          <w:tab w:val="left" w:pos="2149"/>
        </w:tabs>
        <w:spacing w:before="92"/>
        <w:ind w:right="468" w:rightChars="0"/>
        <w:rPr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142875</wp:posOffset>
            </wp:positionH>
            <wp:positionV relativeFrom="page">
              <wp:posOffset>1518920</wp:posOffset>
            </wp:positionV>
            <wp:extent cx="6125845" cy="4043680"/>
            <wp:effectExtent l="0" t="0" r="8255" b="13970"/>
            <wp:wrapNone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widowControl/>
        <w:rPr>
          <w:rFonts w:ascii="Times New Roman" w:eastAsia="Times New Roman"/>
          <w:color w:val="252525"/>
          <w:sz w:val="17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600075</wp:posOffset>
            </wp:positionH>
            <wp:positionV relativeFrom="page">
              <wp:posOffset>1553210</wp:posOffset>
            </wp:positionV>
            <wp:extent cx="5076825" cy="5743575"/>
            <wp:effectExtent l="0" t="0" r="9525" b="952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  <w:docVar w:name="KSO_WPS_MARK_KEY" w:val="91208dd5-713b-4d32-96b6-c6b60bbac54e"/>
  </w:docVars>
  <w:rsids>
    <w:rsidRoot w:val="00905EE9"/>
    <w:rsid w:val="000004BB"/>
    <w:rsid w:val="00244765"/>
    <w:rsid w:val="005D4B1D"/>
    <w:rsid w:val="00905EE9"/>
    <w:rsid w:val="033A042E"/>
    <w:rsid w:val="06451F90"/>
    <w:rsid w:val="074E7D67"/>
    <w:rsid w:val="0886140E"/>
    <w:rsid w:val="0A6A638F"/>
    <w:rsid w:val="0B076D58"/>
    <w:rsid w:val="0B253A52"/>
    <w:rsid w:val="0F452B95"/>
    <w:rsid w:val="106703A1"/>
    <w:rsid w:val="12FE72C3"/>
    <w:rsid w:val="16154A2F"/>
    <w:rsid w:val="16DD41A9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310008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A74FC1"/>
    <w:rsid w:val="30B441A3"/>
    <w:rsid w:val="31543A97"/>
    <w:rsid w:val="33B005C7"/>
    <w:rsid w:val="33E51BDA"/>
    <w:rsid w:val="35D81145"/>
    <w:rsid w:val="372E7D76"/>
    <w:rsid w:val="38C91778"/>
    <w:rsid w:val="39E9584D"/>
    <w:rsid w:val="3C204D52"/>
    <w:rsid w:val="3E8A61A9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4F673085"/>
    <w:rsid w:val="5151099A"/>
    <w:rsid w:val="54B71AED"/>
    <w:rsid w:val="5749491D"/>
    <w:rsid w:val="58582D1D"/>
    <w:rsid w:val="59A42E4B"/>
    <w:rsid w:val="5A3E131C"/>
    <w:rsid w:val="5B500E48"/>
    <w:rsid w:val="5C0F16AB"/>
    <w:rsid w:val="5C4F16CA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6FC1362F"/>
    <w:rsid w:val="702A2F2A"/>
    <w:rsid w:val="733A6F76"/>
    <w:rsid w:val="74454175"/>
    <w:rsid w:val="77A32059"/>
    <w:rsid w:val="78706BF3"/>
    <w:rsid w:val="78815158"/>
    <w:rsid w:val="791C4354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</Words>
  <Characters>1085</Characters>
  <Lines>10</Lines>
  <Paragraphs>2</Paragraphs>
  <TotalTime>2</TotalTime>
  <ScaleCrop>false</ScaleCrop>
  <LinksUpToDate>false</LinksUpToDate>
  <CharactersWithSpaces>1256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2023-03-03T06:35:09Z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2052-11.1.0.12970</vt:lpwstr>
  </property>
  <property fmtid="{D5CDD505-2E9C-101B-9397-08002B2CF9AE}" pid="5" name="ICV">
    <vt:lpwstr>5D8AE62F99E94B3B8FF9CED68F2D54A0</vt:lpwstr>
  </property>
</Properties>
</file>