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84455</wp:posOffset>
            </wp:positionV>
            <wp:extent cx="1863090" cy="1286510"/>
            <wp:effectExtent l="0" t="0" r="3810" b="889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val="en-US" w:eastAsia="zh-CN"/>
        </w:rPr>
        <w:t>0241</w:t>
      </w:r>
      <w:r>
        <w:t xml:space="preserve"> 中文名称：</w:t>
      </w:r>
      <w:r>
        <w:rPr>
          <w:rFonts w:hint="eastAsia"/>
        </w:rPr>
        <w:t>淫羊藿素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Icaritin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118525-40-9</w:t>
      </w:r>
      <w:r>
        <w:t xml:space="preserve"> 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C21H20O6</w:t>
      </w:r>
      <w:r>
        <w:t xml:space="preserve"> 分子量 (M. W.): </w:t>
      </w:r>
      <w:r>
        <w:rPr>
          <w:rFonts w:hint="eastAsia"/>
        </w:rPr>
        <w:t>368.38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22030241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淡黄色至黄色(light yellow to 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黄</w:t>
            </w:r>
            <w:r>
              <w:rPr>
                <w:sz w:val="18"/>
                <w:szCs w:val="18"/>
              </w:rPr>
              <w:t>色(yellow)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</w:rPr>
              <w:t>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rFonts w:hint="eastAsia"/>
          <w:sz w:val="21"/>
          <w:szCs w:val="21"/>
          <w:lang w:eastAsia="zh-CN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826125" cy="4342765"/>
            <wp:effectExtent l="0" t="0" r="3175" b="6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43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色谱柱（Column）：Agilent Zorbax Eclipse XDB-C18 4.6×250 mm 5μm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phase):A –Mili-Q water, B – Acetonitrile;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0min A:B=75:25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0-15min A 75-25，B 25-75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15-25min A 25-0，B 75-100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70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NMR:</w:t>
      </w:r>
    </w:p>
    <w:p>
      <w:pPr>
        <w:tabs>
          <w:tab w:val="left" w:pos="2149"/>
        </w:tabs>
        <w:spacing w:before="92"/>
        <w:ind w:right="468"/>
      </w:pPr>
      <w:bookmarkStart w:id="2" w:name="_GoBack"/>
      <w:bookmarkEnd w:id="2"/>
    </w:p>
    <w:p>
      <w:pPr>
        <w:tabs>
          <w:tab w:val="left" w:pos="2149"/>
        </w:tabs>
        <w:spacing w:before="92"/>
        <w:ind w:right="468"/>
      </w:pPr>
      <w:r>
        <w:drawing>
          <wp:inline distT="0" distB="0" distL="114300" distR="114300">
            <wp:extent cx="6122670" cy="4347845"/>
            <wp:effectExtent l="0" t="0" r="11430" b="146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0765" cy="4043680"/>
            <wp:effectExtent l="0" t="0" r="13335" b="1397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numPr>
          <w:ilvl w:val="0"/>
          <w:numId w:val="0"/>
        </w:numPr>
        <w:tabs>
          <w:tab w:val="left" w:pos="2149"/>
        </w:tabs>
        <w:spacing w:before="92"/>
        <w:ind w:right="468" w:rightChars="0"/>
        <w:rPr>
          <w:b/>
          <w:bCs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1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mIwMTZiNTFjZDkzZjI2MDQ3MDNkZGNmNDY2YTIifQ=="/>
  </w:docVars>
  <w:rsids>
    <w:rsidRoot w:val="00905EE9"/>
    <w:rsid w:val="000004BB"/>
    <w:rsid w:val="00244765"/>
    <w:rsid w:val="005D4B1D"/>
    <w:rsid w:val="00905EE9"/>
    <w:rsid w:val="01334D44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647443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9B45954"/>
    <w:rsid w:val="4AE57FAE"/>
    <w:rsid w:val="4AFF3F58"/>
    <w:rsid w:val="4B06496A"/>
    <w:rsid w:val="4BAF3354"/>
    <w:rsid w:val="5151099A"/>
    <w:rsid w:val="546F32A6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1106</Characters>
  <Lines>10</Lines>
  <Paragraphs>2</Paragraphs>
  <TotalTime>2</TotalTime>
  <ScaleCrop>false</ScaleCrop>
  <LinksUpToDate>false</LinksUpToDate>
  <CharactersWithSpaces>1285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Administrator</cp:lastModifiedBy>
  <dcterms:modified xsi:type="dcterms:W3CDTF">2022-05-24T02:01:03Z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2052-11.1.0.11691</vt:lpwstr>
  </property>
  <property fmtid="{D5CDD505-2E9C-101B-9397-08002B2CF9AE}" pid="5" name="ICV">
    <vt:lpwstr>5E48D9B454A1473C81DBA5DF07428C33</vt:lpwstr>
  </property>
</Properties>
</file>